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4D7F" w14:textId="77777777" w:rsidR="00AD4F13" w:rsidRPr="0029435C" w:rsidRDefault="00AD4F13" w:rsidP="00AD4F13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</w:p>
    <w:p w14:paraId="068FD2BD" w14:textId="77777777" w:rsidR="00AD4F13" w:rsidRPr="00CC72B3" w:rsidRDefault="00AD4F13" w:rsidP="00AD4F13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CC72B3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Informace pro oznamovatele: </w:t>
      </w:r>
    </w:p>
    <w:p w14:paraId="569448B8" w14:textId="77777777" w:rsidR="00AD4F13" w:rsidRPr="00CC72B3" w:rsidRDefault="00AD4F13" w:rsidP="00AD4F13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CC72B3">
        <w:rPr>
          <w:rFonts w:ascii="Times New Roman" w:eastAsia="Calibri" w:hAnsi="Times New Roman"/>
          <w:b/>
          <w:bCs/>
          <w:sz w:val="24"/>
          <w:szCs w:val="24"/>
          <w:u w:val="single"/>
        </w:rPr>
        <w:t>Zákaz poskytnutí údajů třetí osobě</w:t>
      </w:r>
    </w:p>
    <w:p w14:paraId="11B68D31" w14:textId="77777777" w:rsidR="00AD4F13" w:rsidRPr="00CC72B3" w:rsidRDefault="00AD4F13" w:rsidP="00AD4F13">
      <w:pPr>
        <w:spacing w:after="120"/>
        <w:ind w:left="357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Příslušná osoba neposkytne třetí osobě informace, které by mohly zmařit nebo ohrozit účel podávání oznámení. Do evidence údajů o přijatých oznámeních a k dokumentům souvisejícím s oznámením – uchovávaným povinným subjektem má přístup p</w:t>
      </w:r>
      <w:r>
        <w:rPr>
          <w:rFonts w:ascii="Times New Roman" w:eastAsia="Calibri" w:hAnsi="Times New Roman"/>
          <w:sz w:val="24"/>
          <w:szCs w:val="24"/>
        </w:rPr>
        <w:t xml:space="preserve">ouze příslušná osoba. </w:t>
      </w:r>
      <w:r w:rsidRPr="00CC72B3">
        <w:rPr>
          <w:rFonts w:ascii="Times New Roman" w:eastAsia="Calibri" w:hAnsi="Times New Roman"/>
          <w:sz w:val="24"/>
          <w:szCs w:val="24"/>
        </w:rPr>
        <w:t xml:space="preserve">Informace o totožnosti oznamovatele a osoby podle § 4 odst. 2 písm. a) až h) zákona č. 171/2023 Sb., o ochraně oznamovatelů, je možné poskytnout jen s jejich </w:t>
      </w:r>
      <w:r w:rsidRPr="00CC72B3">
        <w:rPr>
          <w:rFonts w:ascii="Times New Roman" w:eastAsia="Calibri" w:hAnsi="Times New Roman"/>
          <w:b/>
          <w:bCs/>
          <w:sz w:val="24"/>
          <w:szCs w:val="24"/>
        </w:rPr>
        <w:t>písemným souhlasem</w:t>
      </w:r>
      <w:r w:rsidRPr="00CC72B3">
        <w:rPr>
          <w:rFonts w:ascii="Times New Roman" w:eastAsia="Calibri" w:hAnsi="Times New Roman"/>
          <w:sz w:val="24"/>
          <w:szCs w:val="24"/>
        </w:rPr>
        <w:t xml:space="preserve">, ledaže je příslušná osoba povinna tyto informace poskytnout příslušným orgánům veřejné moci podle jiných právních předpisů. </w:t>
      </w:r>
    </w:p>
    <w:p w14:paraId="23535C2E" w14:textId="77777777" w:rsidR="00AD4F13" w:rsidRPr="00CC72B3" w:rsidRDefault="00AD4F13" w:rsidP="00AD4F13">
      <w:pPr>
        <w:spacing w:after="120"/>
        <w:ind w:left="357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Poskytuje-li příslušná osoba informaci o totožnosti oznamovatele orgánu veřejné moci, je povinen o tom předem oznamovatele vyrozumět s důvody, pro které je povinen informaci o totožnosti poskytnout, a umožnit oznamovateli, aby se k poskytnutí informace vyjádřil.</w:t>
      </w:r>
    </w:p>
    <w:p w14:paraId="50042036" w14:textId="77777777" w:rsidR="00AD4F13" w:rsidRPr="00CC72B3" w:rsidRDefault="00AD4F13" w:rsidP="00AD4F13">
      <w:pPr>
        <w:spacing w:after="120"/>
        <w:ind w:left="357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Na všechny osoby včetně osob příslušných a oznamovatelů se rovněž vztahuje povinnost oznamovat vyjmenované trestné činy podle § 368 odst. 1 zákona č. 40/2009 Sb., trestní zákoník.</w:t>
      </w:r>
    </w:p>
    <w:p w14:paraId="495486BE" w14:textId="77777777" w:rsidR="00AD4F13" w:rsidRPr="00CC72B3" w:rsidRDefault="00AD4F13" w:rsidP="00AD4F13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CC72B3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Posuzování oznámení </w:t>
      </w:r>
    </w:p>
    <w:p w14:paraId="4AC1F9AB" w14:textId="77777777" w:rsidR="00AD4F13" w:rsidRPr="00CC72B3" w:rsidRDefault="00AD4F13" w:rsidP="00AD4F13">
      <w:pPr>
        <w:spacing w:after="120"/>
        <w:ind w:left="357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 xml:space="preserve">Příslušná osoba je povinna </w:t>
      </w:r>
      <w:r w:rsidRPr="00CC72B3">
        <w:rPr>
          <w:rFonts w:ascii="Times New Roman" w:eastAsia="Calibri" w:hAnsi="Times New Roman"/>
          <w:b/>
          <w:bCs/>
          <w:sz w:val="24"/>
          <w:szCs w:val="24"/>
        </w:rPr>
        <w:t>posoudit důvodnost oznámení</w:t>
      </w:r>
      <w:r w:rsidRPr="00CC72B3">
        <w:rPr>
          <w:rFonts w:ascii="Times New Roman" w:eastAsia="Calibri" w:hAnsi="Times New Roman"/>
          <w:sz w:val="24"/>
          <w:szCs w:val="24"/>
        </w:rPr>
        <w:t xml:space="preserve"> a písemně vyrozumět oznamovatele o výsledcích posouzení </w:t>
      </w:r>
      <w:r w:rsidRPr="00CC72B3">
        <w:rPr>
          <w:rFonts w:ascii="Times New Roman" w:eastAsia="Calibri" w:hAnsi="Times New Roman"/>
          <w:b/>
          <w:bCs/>
          <w:sz w:val="24"/>
          <w:szCs w:val="24"/>
        </w:rPr>
        <w:t xml:space="preserve">do 30 dnů </w:t>
      </w:r>
      <w:r w:rsidRPr="00CC72B3">
        <w:rPr>
          <w:rFonts w:ascii="Times New Roman" w:eastAsia="Calibri" w:hAnsi="Times New Roman"/>
          <w:sz w:val="24"/>
          <w:szCs w:val="24"/>
        </w:rPr>
        <w:t>ode dne přijetí oznámení</w:t>
      </w:r>
      <w:r w:rsidRPr="00CC72B3">
        <w:rPr>
          <w:rFonts w:ascii="Times New Roman" w:eastAsia="Calibri" w:hAnsi="Times New Roman"/>
          <w:b/>
          <w:bCs/>
          <w:sz w:val="24"/>
          <w:szCs w:val="24"/>
        </w:rPr>
        <w:t>.</w:t>
      </w:r>
      <w:r w:rsidRPr="00CC72B3">
        <w:rPr>
          <w:rFonts w:ascii="Times New Roman" w:eastAsia="Calibri" w:hAnsi="Times New Roman"/>
          <w:sz w:val="24"/>
          <w:szCs w:val="24"/>
        </w:rPr>
        <w:t xml:space="preserve"> V případech skutkově nebo právně složitých lze tuto lhůtu prodloužit až dvakrát, vždy o 30 dnů. O prodloužení lhůty a důvodech pro její prodloužení je příslušná osoba povinna oznamovatele písemně vyrozumět před jejím uplynutím.</w:t>
      </w:r>
    </w:p>
    <w:p w14:paraId="0E93FC60" w14:textId="77777777" w:rsidR="00AD4F13" w:rsidRPr="00CC72B3" w:rsidRDefault="00AD4F13" w:rsidP="00AD4F13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72B3">
        <w:rPr>
          <w:rFonts w:ascii="Times New Roman" w:hAnsi="Times New Roman"/>
          <w:sz w:val="24"/>
          <w:szCs w:val="24"/>
        </w:rPr>
        <w:t>Zjistí-li příslušná osoba při posuzování důvodnosti oznámení, že nejde o oznámení podle tohoto zákona, bez zbytečného odkladu o tom písemně vyrozumí oznamovatele.</w:t>
      </w:r>
    </w:p>
    <w:p w14:paraId="5E45ADE3" w14:textId="77777777" w:rsidR="00AD4F13" w:rsidRPr="00CC72B3" w:rsidRDefault="00AD4F13" w:rsidP="00AD4F13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Je-li oznámení vyhodnoceno jako důvodné, příslušná osoba povinnému subjektu navrhne opatření k předejití nebo nápravě protiprávního stavu. Je-li oznámení podáno u příslušné osoby povinného subjektu, pro který oznamovatel nevykonává práci nebo jinou obdobnou činnost, navrhuje příslušná osoba nápravná opatření osobě, pro kterou oznamovatel vykonává práci nebo jinou obdobnou činnost, nevylučuje-li to povaha věci. Nepřijme-li povinný subjekt opatření navržené příslušnou osobou, přijme k předejití nebo nápravě protiprávního stavu jiné vhodné opatření; to neplatí, jde-li o opatření navržené jiné osobě než povinnému subjektu, který tuto příslušnou osobu určil.</w:t>
      </w:r>
    </w:p>
    <w:p w14:paraId="322CD474" w14:textId="77777777" w:rsidR="00AD4F13" w:rsidRPr="00CC72B3" w:rsidRDefault="00AD4F13" w:rsidP="00AD4F13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CC72B3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Jak postupovat v případě odvetných opatření </w:t>
      </w:r>
    </w:p>
    <w:p w14:paraId="7CDF2AB2" w14:textId="77777777" w:rsidR="00AD4F13" w:rsidRPr="00CC72B3" w:rsidRDefault="00AD4F13" w:rsidP="00AD4F13">
      <w:pPr>
        <w:spacing w:after="120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Za hlavní ochranné opatření lze považovat zákaz uplatnění odvetného opatření vůči oznamovateli a dalším chráněným fyzickým i právnickým osobám (např. kolegům, pomocníkům oznamovatele, osobám oznamovateli blízkým, právnickým osobám, jejichž společníkem je oznamovatel atd.) a zákaz umožnit uplatnění odvetného opatření, který dopadá na povinné subjekty.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C72B3">
        <w:rPr>
          <w:rFonts w:ascii="Times New Roman" w:eastAsia="Calibri" w:hAnsi="Times New Roman"/>
          <w:sz w:val="24"/>
          <w:szCs w:val="24"/>
        </w:rPr>
        <w:t xml:space="preserve">Odvetným opatřením se rozumí „jednání nebo jeho opomenutí v souvislosti s prací nebo jinou obdobnou činností oznamovatele, které bylo vyvoláno učiněním oznámení a které oznamovateli nebo osobě podle odstavce 2 písm. a) až h) může způsobit újmu“. </w:t>
      </w:r>
    </w:p>
    <w:p w14:paraId="1875F696" w14:textId="77777777" w:rsidR="00AD4F13" w:rsidRPr="00CC72B3" w:rsidRDefault="00AD4F13" w:rsidP="00AD4F13">
      <w:pPr>
        <w:spacing w:after="120"/>
        <w:ind w:firstLine="357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lastRenderedPageBreak/>
        <w:t>Takovým odvetným opatřením může být dle zákona o ochraně oznamovatelů zejména:</w:t>
      </w:r>
    </w:p>
    <w:p w14:paraId="00819F27" w14:textId="77777777" w:rsidR="00AD4F13" w:rsidRPr="00CC72B3" w:rsidRDefault="00AD4F13" w:rsidP="00AD4F13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rozvázání pracovního poměru nebo neprodloužení pracovního poměru na dobu určitou,</w:t>
      </w:r>
    </w:p>
    <w:p w14:paraId="07C359A9" w14:textId="77777777" w:rsidR="00AD4F13" w:rsidRPr="00CC72B3" w:rsidRDefault="00AD4F13" w:rsidP="00AD4F13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zproštění výkonu služby, zařazení mimo výkon služby nebo skončení služebního poměru,</w:t>
      </w:r>
    </w:p>
    <w:p w14:paraId="6C536E9A" w14:textId="77777777" w:rsidR="00AD4F13" w:rsidRPr="00CC72B3" w:rsidRDefault="00AD4F13" w:rsidP="00AD4F13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zrušení právního vztahu založeného dohodou o provedení práce nebo dohodou o pracovní činnosti,</w:t>
      </w:r>
    </w:p>
    <w:p w14:paraId="57C6F6DA" w14:textId="77777777" w:rsidR="00AD4F13" w:rsidRPr="00CC72B3" w:rsidRDefault="00AD4F13" w:rsidP="00AD4F13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odvolání z místa vedoucího zaměstnance nebo ze služebního místa představeného,</w:t>
      </w:r>
    </w:p>
    <w:p w14:paraId="06F8F6D2" w14:textId="77777777" w:rsidR="00AD4F13" w:rsidRPr="00CC72B3" w:rsidRDefault="00AD4F13" w:rsidP="00AD4F13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 xml:space="preserve"> uložení kárného opatření nebo kázeňského trestu,</w:t>
      </w:r>
    </w:p>
    <w:p w14:paraId="18217FCD" w14:textId="77777777" w:rsidR="00AD4F13" w:rsidRPr="00CC72B3" w:rsidRDefault="00AD4F13" w:rsidP="00AD4F13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snížení mzdy, platu nebo odměny nebo nepřiznání osobního příplatku,</w:t>
      </w:r>
    </w:p>
    <w:p w14:paraId="5830A713" w14:textId="77777777" w:rsidR="00AD4F13" w:rsidRPr="00CC72B3" w:rsidRDefault="00AD4F13" w:rsidP="00AD4F13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přeložení nebo převedení na jinou práci nebo na jiné služební místo,</w:t>
      </w:r>
    </w:p>
    <w:p w14:paraId="5D86684E" w14:textId="77777777" w:rsidR="00AD4F13" w:rsidRPr="00CC72B3" w:rsidRDefault="00AD4F13" w:rsidP="00AD4F13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služební hodnocení nebo pracovní posudek,</w:t>
      </w:r>
    </w:p>
    <w:p w14:paraId="085C6177" w14:textId="77777777" w:rsidR="00AD4F13" w:rsidRPr="00CC72B3" w:rsidRDefault="00AD4F13" w:rsidP="00AD4F13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neumožnění odborného rozvoje,</w:t>
      </w:r>
    </w:p>
    <w:p w14:paraId="5B13BFA3" w14:textId="77777777" w:rsidR="00AD4F13" w:rsidRPr="00CC72B3" w:rsidRDefault="00AD4F13" w:rsidP="00AD4F13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změna pracovní nebo služební doby,</w:t>
      </w:r>
    </w:p>
    <w:p w14:paraId="1FABACE7" w14:textId="77777777" w:rsidR="00AD4F13" w:rsidRPr="00CC72B3" w:rsidRDefault="00AD4F13" w:rsidP="00AD4F13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vyžadování lékařského posudku nebo pracovnělékařské prohlídky,</w:t>
      </w:r>
    </w:p>
    <w:p w14:paraId="1814E7D9" w14:textId="77777777" w:rsidR="00AD4F13" w:rsidRPr="00CC72B3" w:rsidRDefault="00AD4F13" w:rsidP="00AD4F13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výpověď nebo odstoupení od smlouvy, nebo</w:t>
      </w:r>
    </w:p>
    <w:p w14:paraId="750F1FB5" w14:textId="77777777" w:rsidR="00AD4F13" w:rsidRPr="00CC72B3" w:rsidRDefault="00AD4F13" w:rsidP="00AD4F13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zásah do práva na ochranu osobnosti.</w:t>
      </w:r>
    </w:p>
    <w:p w14:paraId="60406594" w14:textId="77777777" w:rsidR="00AD4F13" w:rsidRPr="00CC72B3" w:rsidRDefault="00AD4F13" w:rsidP="00AD4F13">
      <w:pPr>
        <w:spacing w:after="120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Ochrany před odvetnými opatřeními se nelze vzdát ani je nelze omezit žádnou dohodou či podmínkami pracovního poměru či obdobného pracovního vztahu.</w:t>
      </w:r>
    </w:p>
    <w:p w14:paraId="2185BE4D" w14:textId="77777777" w:rsidR="00AD4F13" w:rsidRPr="00CC72B3" w:rsidRDefault="00AD4F13" w:rsidP="00AD4F13">
      <w:pPr>
        <w:spacing w:after="120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Oznamovateli náleží ochrana podle zákona č. 171/2023 Sb., o ochraně oznamovatelů, pokud:</w:t>
      </w:r>
    </w:p>
    <w:p w14:paraId="22E25A27" w14:textId="77777777" w:rsidR="00AD4F13" w:rsidRPr="00CC72B3" w:rsidRDefault="00AD4F13" w:rsidP="00AD4F13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nepodal vědomě nepravdivé oznámení a</w:t>
      </w:r>
    </w:p>
    <w:p w14:paraId="60A95D43" w14:textId="77777777" w:rsidR="00AD4F13" w:rsidRPr="00CC72B3" w:rsidRDefault="00AD4F13" w:rsidP="00AD4F13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podal oznámení v souladu se zákonem buď prostřednictvím vnitřního oznamovacího systému, externího oznamovacího systému Ministerstva spravedlnosti, nebo učinil uveřejnění, případně oznámení podali přímo jinému příslušnému orgánu veřejné moci.</w:t>
      </w:r>
    </w:p>
    <w:p w14:paraId="5C6BBE09" w14:textId="77777777" w:rsidR="00AD4F13" w:rsidRPr="00CC72B3" w:rsidRDefault="00AD4F13" w:rsidP="00AD4F13">
      <w:pPr>
        <w:spacing w:after="120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>Ochrana náleží také dalším osobám podle § 4 odst. 2 písm. a) až h) zákona.</w:t>
      </w:r>
    </w:p>
    <w:p w14:paraId="2C665249" w14:textId="77777777" w:rsidR="00AD4F13" w:rsidRPr="00CC72B3" w:rsidRDefault="00AD4F13" w:rsidP="00AD4F13">
      <w:pPr>
        <w:spacing w:after="120"/>
        <w:ind w:left="357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sz w:val="24"/>
          <w:szCs w:val="24"/>
        </w:rPr>
        <w:t xml:space="preserve">V případě porušení zákazu uplatnění odvetných opatření se oznamovatel bude moci vůči původci odvetného opatření domáhat ochrany před soudem. V rámci občanského soudního řízení disponují oznamovatelé v postavení žalobce následujícími procesními výhodami: obráceným důkazním břemenem (žalovaný musí prokazovat, že tvrzené odvetné opatření bylo motivováno jinými důvody než podáním oznámení) a možnost navrhnout nařízení předběžného opatření bez povinnosti skládat jistotu. Osoby ve služebním poměru mohou odvolacímu orgánu navrhnout odkladný účinek rozhodnutí, které má znaky odvetného opatření, nebo pozastavení jeho vykonatelnosti. </w:t>
      </w:r>
    </w:p>
    <w:p w14:paraId="6C6F8D63" w14:textId="77777777" w:rsidR="00AD4F13" w:rsidRPr="00CC72B3" w:rsidRDefault="00AD4F13" w:rsidP="00AD4F13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eastAsia="Calibri" w:hAnsi="Times New Roman"/>
          <w:sz w:val="24"/>
          <w:szCs w:val="24"/>
        </w:rPr>
      </w:pPr>
      <w:r w:rsidRPr="00CC72B3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Vědomě nepravdivé oznámení </w:t>
      </w:r>
    </w:p>
    <w:p w14:paraId="0E900B20" w14:textId="77777777" w:rsidR="00AD4F13" w:rsidRPr="005171E6" w:rsidRDefault="00AD4F13" w:rsidP="00AD4F13">
      <w:pPr>
        <w:spacing w:after="120"/>
        <w:ind w:left="357"/>
        <w:jc w:val="both"/>
        <w:rPr>
          <w:rFonts w:ascii="Times New Roman" w:eastAsia="Calibri" w:hAnsi="Times New Roman"/>
        </w:rPr>
      </w:pPr>
      <w:r w:rsidRPr="00CC72B3">
        <w:rPr>
          <w:rFonts w:ascii="Times New Roman" w:eastAsia="Calibri" w:hAnsi="Times New Roman"/>
          <w:sz w:val="24"/>
          <w:szCs w:val="24"/>
        </w:rPr>
        <w:t>Fyzická osoba se dopustí přestupku tím, že podá vědomě nepravdivé oznámení. Za přestupek podle odstavce 1 lze uložit pokutu do 50 000 Kč. Oznamovatel může být za podání nepravdivého oznámení rovněž odpovědný podle jiných právních předpisů.</w:t>
      </w:r>
    </w:p>
    <w:p w14:paraId="43FDB1D4" w14:textId="77777777" w:rsidR="00BC070A" w:rsidRDefault="00BC070A"/>
    <w:sectPr w:rsidR="00BC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8B8"/>
    <w:multiLevelType w:val="hybridMultilevel"/>
    <w:tmpl w:val="E106351C"/>
    <w:lvl w:ilvl="0" w:tplc="2EA492A2">
      <w:start w:val="5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5E4D04FB"/>
    <w:multiLevelType w:val="hybridMultilevel"/>
    <w:tmpl w:val="7A0EE39A"/>
    <w:lvl w:ilvl="0" w:tplc="A8EAAB06">
      <w:start w:val="3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3F71E5C"/>
    <w:multiLevelType w:val="hybridMultilevel"/>
    <w:tmpl w:val="BD086172"/>
    <w:lvl w:ilvl="0" w:tplc="B86A4F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07690">
    <w:abstractNumId w:val="2"/>
  </w:num>
  <w:num w:numId="2" w16cid:durableId="700016220">
    <w:abstractNumId w:val="1"/>
  </w:num>
  <w:num w:numId="3" w16cid:durableId="135476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13"/>
    <w:rsid w:val="00AD4F13"/>
    <w:rsid w:val="00BC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4A5A"/>
  <w15:chartTrackingRefBased/>
  <w15:docId w15:val="{DB7001A2-A94C-4368-9411-1FF4CAF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4F13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Jurášek</dc:creator>
  <cp:keywords/>
  <dc:description/>
  <cp:lastModifiedBy>Martin Jurášek</cp:lastModifiedBy>
  <cp:revision>1</cp:revision>
  <dcterms:created xsi:type="dcterms:W3CDTF">2023-11-30T09:45:00Z</dcterms:created>
  <dcterms:modified xsi:type="dcterms:W3CDTF">2023-11-30T09:45:00Z</dcterms:modified>
</cp:coreProperties>
</file>